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w:t>
      </w:r>
    </w:p>
    <w:p>
      <w:r>
        <w:rPr>
          <w:i/>
          <w:iCs/>
          <w:color w:val="666666"/>
        </w:rPr>
        <w:t xml:space="preserve">TRIBUNAL SUPERIOR DO TRABALHO</w:t>
      </w:r>
    </w:p>
    <w:p/>
    <w:p>
      <w:r>
        <w:rPr>
          <w:b/>
          <w:bCs/>
        </w:rPr>
        <w:t xml:space="preserve">Recurso: </w:t>
      </w:r>
      <w:r>
        <w:t xml:space="preserve">RR - 963-92.2011.5.03.0008</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RECURSO DE REVISTA DO SEGUNDO RECLAMADO. RECURSO EXTRAORDINÁRIO. JUÍZO DE RETRATAÇÃO (ART.</w:t>
      </w:r>
    </w:p>
    <w:p/>
    <w:p>
      <w:pPr>
        <w:pStyle w:val="Heading2"/>
      </w:pPr>
      <w:r>
        <w:rPr>
          <w:b/>
          <w:bCs/>
        </w:rPr>
        <w:t xml:space="preserve">Resumo</w:t>
      </w:r>
    </w:p>
    <w:p>
      <w:r>
        <w:t xml:space="preserve">Recurso de revista do tomador de serviços (ente público) contra condenação subsidiária por débitos trabalhistas da contratada. O STF fixou tese (Tema 1.118) estabelecendo que o ônus de comprovar falha na fiscalização das obrigações trabalhistas recai sobre quem demanda a responsabilidade do Poder Público, não sobre o tomador. Provido o recurso para afastar a condenação subsidiária, por violação do art. 71, § 1º da Lei 8.666/93.</w:t>
      </w:r>
    </w:p>
    <w:p/>
    <w:p>
      <w:pPr>
        <w:pStyle w:val="Heading2"/>
      </w:pPr>
      <w:r>
        <w:rPr>
          <w:b/>
          <w:bCs/>
        </w:rPr>
        <w:t xml:space="preserve">Ementa</w:t>
      </w:r>
    </w:p>
    <w:p>
      <w:r>
        <w:t xml:space="preserve">RECURSO DE REVISTA DO SEGUNDO RECLAMADO. RECURSO EXTRAORDINÁRIO. JUÍZO DE RETRATAÇÃO (ART. 1.030, II, DO CPC).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2026-06-05T10:05:04.610Z</dcterms:created>
  <dcterms:modified xsi:type="dcterms:W3CDTF">2026-06-05T10:05:04.610Z</dcterms:modified>
</cp:coreProperties>
</file>

<file path=docProps/custom.xml><?xml version="1.0" encoding="utf-8"?>
<Properties xmlns="http://schemas.openxmlformats.org/officeDocument/2006/custom-properties" xmlns:vt="http://schemas.openxmlformats.org/officeDocument/2006/docPropsVTypes"/>
</file>